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D" w:rsidRPr="000A38F6" w:rsidRDefault="000E2898" w:rsidP="000A38F6">
      <w:pPr>
        <w:pStyle w:val="10"/>
        <w:framePr w:wrap="none" w:vAnchor="page" w:hAnchor="page" w:x="980" w:y="1456"/>
        <w:shd w:val="clear" w:color="auto" w:fill="auto"/>
        <w:spacing w:after="0" w:line="260" w:lineRule="exac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A38F6">
        <w:rPr>
          <w:rStyle w:val="11"/>
          <w:rFonts w:ascii="Times New Roman" w:hAnsi="Times New Roman" w:cs="Times New Roman"/>
          <w:i/>
          <w:iCs/>
          <w:sz w:val="24"/>
          <w:szCs w:val="24"/>
        </w:rPr>
        <w:t>ОГЛЯД МОДУЛІВ</w:t>
      </w:r>
      <w:bookmarkEnd w:id="0"/>
    </w:p>
    <w:tbl>
      <w:tblPr>
        <w:tblpPr w:leftFromText="180" w:rightFromText="180" w:vertAnchor="text" w:horzAnchor="margin" w:tblpXSpec="center" w:tblpY="18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881"/>
      </w:tblGrid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18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Модулі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18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</w:tr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Внутрішній контроль виробництва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A38F6" w:rsidRPr="000A38F6" w:rsidRDefault="000A38F6" w:rsidP="00AD507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Виробник самостійно забезпечує відповідність продукції вимогам законодавства </w:t>
            </w:r>
          </w:p>
        </w:tc>
      </w:tr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А1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Внутрішній контроль виробництва з випробуваннями продукції під наглядом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A38F6" w:rsidRPr="000A38F6" w:rsidRDefault="000A38F6" w:rsidP="00AD507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А + випробування конкретних аспектів продукції, які проводяться </w:t>
            </w:r>
            <w:proofErr w:type="spellStart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внутрішньофірмовим</w:t>
            </w:r>
            <w:proofErr w:type="spellEnd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акредитованим органом або під відповідальність нотифікованого органу, обраного виробником</w:t>
            </w:r>
          </w:p>
        </w:tc>
      </w:tr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А2</w:t>
            </w:r>
          </w:p>
          <w:p w:rsidR="000A38F6" w:rsidRPr="000A38F6" w:rsidRDefault="000A38F6" w:rsidP="00AD507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Внутрішній контроль виробництва з перевірками продукції під наглядом через довільні інтервали часу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A38F6" w:rsidRPr="000A38F6" w:rsidRDefault="000A38F6" w:rsidP="00AD5076">
            <w:pPr>
              <w:pStyle w:val="2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А + перевірки продукції через довільні інтервали часу, які проводяться нотифікованим органом або </w:t>
            </w:r>
            <w:proofErr w:type="spellStart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внутрішньофірмовим</w:t>
            </w:r>
            <w:proofErr w:type="spellEnd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акредитованим органом</w:t>
            </w:r>
          </w:p>
        </w:tc>
      </w:tr>
      <w:tr w:rsidR="000A38F6" w:rsidRPr="000A38F6" w:rsidTr="00BA3ECC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6B7" w:rsidRDefault="00BD56B7" w:rsidP="000A38F6">
            <w:pPr>
              <w:pStyle w:val="2"/>
              <w:shd w:val="clear" w:color="auto" w:fill="auto"/>
              <w:spacing w:before="0" w:after="60" w:line="180" w:lineRule="exact"/>
              <w:ind w:left="100" w:firstLine="0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AD5076" w:rsidRDefault="00AD5076" w:rsidP="000A38F6">
            <w:pPr>
              <w:pStyle w:val="2"/>
              <w:shd w:val="clear" w:color="auto" w:fill="auto"/>
              <w:spacing w:before="0" w:after="60" w:line="180" w:lineRule="exact"/>
              <w:ind w:left="100" w:firstLine="0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0A38F6" w:rsidRPr="000A38F6" w:rsidRDefault="00AD5076" w:rsidP="000A38F6">
            <w:pPr>
              <w:pStyle w:val="2"/>
              <w:shd w:val="clear" w:color="auto" w:fill="auto"/>
              <w:spacing w:before="0" w:after="60" w:line="18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60" w:line="18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Експертиза типу ЄС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проектування.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 ним завжди слідують інші модулі, за допомогою яких де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монструється відповідність продукції затвердженому типові ЄС.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Нотифікований орган досліджує технічний проект та/ або зразок типу, а також підтверджує і засвідчує, що він відповідає вимогам правового </w:t>
            </w:r>
            <w:proofErr w:type="spellStart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 який застосовується до нього, шляхом видачі сертифіката експертизи типу ЄС. Існує 3 способи проведення експертизи типу ЄС: 1) виготовленого типового зразка, 2) поєднання виготовленого типового зразка та проекту типу, 3) проекту типу</w:t>
            </w:r>
          </w:p>
        </w:tc>
      </w:tr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типові ЄС на основі внутрішнього контролю виробництва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виробництво та слідує за модулем В.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Виробник самостійно забезпечує відповідність продукції затвердженому типові ЄС</w:t>
            </w:r>
          </w:p>
        </w:tc>
      </w:tr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СІ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типові ЄС на основі внутрішнього контролю виробництва з випробуваннями продукції під наглядом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виробництво та слідує за модулем В.</w:t>
            </w:r>
          </w:p>
          <w:p w:rsidR="000A38F6" w:rsidRPr="000A38F6" w:rsidRDefault="000A38F6" w:rsidP="00E425B9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 + випробування конкретних аспектів продукції, які проводяться </w:t>
            </w:r>
            <w:proofErr w:type="spellStart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внутрішньофірмовим</w:t>
            </w:r>
            <w:proofErr w:type="spellEnd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акредитованим органом або під відповідальність нотифікованого органу, обраного виробником</w:t>
            </w:r>
          </w:p>
        </w:tc>
      </w:tr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С2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типові ЄС на основі внутрішнього контролю виробництва з перевірками продукції під наглядом через довільні інтервали часу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виробництво та слідує за модулем В.</w:t>
            </w:r>
          </w:p>
          <w:p w:rsidR="000A38F6" w:rsidRPr="000A38F6" w:rsidRDefault="000A38F6" w:rsidP="00E425B9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 + перевірки продукції через довільні інтервали часу по конкретних аспектах, які проводяться нотифікованим органом або </w:t>
            </w:r>
            <w:proofErr w:type="spellStart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внутрішньофірмовим</w:t>
            </w:r>
            <w:proofErr w:type="spellEnd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акредитованим органом</w:t>
            </w:r>
          </w:p>
        </w:tc>
      </w:tr>
      <w:tr w:rsidR="000A38F6" w:rsidRPr="000A38F6" w:rsidTr="00E425B9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8F6" w:rsidRPr="00E9589C" w:rsidRDefault="00E9589C" w:rsidP="00E9589C">
            <w:pPr>
              <w:pStyle w:val="2"/>
              <w:shd w:val="clear" w:color="auto" w:fill="auto"/>
              <w:spacing w:before="0" w:line="259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типові ЄС на основі забезпечення якості виробничого процесу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виробництво та слідує за модулем В.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Виробник використовує систему забезпечення якості виробничого процесу (виготовлення та контроль готової продукції) для забезпечення відповідності типові ЄС. Нотифікований орган оцінює систему якості.</w:t>
            </w:r>
          </w:p>
        </w:tc>
      </w:tr>
      <w:tr w:rsidR="000A38F6" w:rsidRPr="000A38F6" w:rsidTr="00AD5076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E9589C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A38F6"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38F6" w:rsidRPr="000A38F6" w:rsidRDefault="000A38F6" w:rsidP="000A38F6">
            <w:pPr>
              <w:pStyle w:val="2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Забезпечення якості виробничого процесу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F6" w:rsidRPr="000A38F6" w:rsidRDefault="000A38F6" w:rsidP="008B767A">
            <w:pPr>
              <w:pStyle w:val="2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Виробник використовує систему забезпечення якості (виготовлення та контроль готової продукції) для забезпечення відповідності законодавчим вимогами (без типу ЄС, використовується як й без модуля В). </w:t>
            </w:r>
          </w:p>
        </w:tc>
      </w:tr>
    </w:tbl>
    <w:p w:rsidR="0007581D" w:rsidRPr="000A38F6" w:rsidRDefault="0007581D">
      <w:pPr>
        <w:rPr>
          <w:rFonts w:ascii="Times New Roman" w:hAnsi="Times New Roman" w:cs="Times New Roman"/>
        </w:rPr>
        <w:sectPr w:rsidR="0007581D" w:rsidRPr="000A38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554"/>
      </w:tblGrid>
      <w:tr w:rsidR="0007581D" w:rsidRPr="000A38F6" w:rsidTr="00797B2F">
        <w:tblPrEx>
          <w:tblCellMar>
            <w:top w:w="0" w:type="dxa"/>
            <w:bottom w:w="0" w:type="dxa"/>
          </w:tblCellMar>
        </w:tblPrEx>
        <w:trPr>
          <w:trHeight w:hRule="exact" w:val="4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028" w:rsidRPr="00491028" w:rsidRDefault="0049102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</w:p>
          <w:p w:rsidR="0007581D" w:rsidRPr="000A38F6" w:rsidRDefault="00491028" w:rsidP="0049102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</w:t>
            </w:r>
            <w:r w:rsidR="000E2898"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дповідність типові ЄС на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основі </w:t>
            </w:r>
            <w:r w:rsidR="000E2898"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забезпечення якості продукції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4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виробництво та слідує за модулем В.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4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Виробник використовує систему забезпечення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якості продукції (=якість виробництва без охоплення стадії виготовлення) для контролю та випробувань готової продукції з метою забезпечення відповідності типові ЄС. Нотифікований орган оцінює систему якості.</w:t>
            </w:r>
          </w:p>
          <w:p w:rsidR="0007581D" w:rsidRPr="000A38F6" w:rsidRDefault="000E2898" w:rsidP="00B9105E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4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Ідея, яка лежить в основі модуля Е, є схожою з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ідеєю модуля </w:t>
            </w:r>
            <w:r w:rsidR="00B9105E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: обидва модулі засновані на системі якості та слідують за модулем В. Різниця полягає у тому, що система якості в модулі Е має на меті забезпечення якості кінцевої продукції, у той час, як система якості в модулі</w:t>
            </w:r>
            <w:r w:rsidR="00B9105E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(а також в </w:t>
            </w:r>
            <w:r w:rsidR="00B9105E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1) має на меті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забезпечення якості всього виробничого процесу (який охоплює стадії виготовлення та випробування кінцевої продукції). Відтак, Е є схожим з модулем</w:t>
            </w:r>
            <w:r w:rsidR="00B9105E" w:rsidRPr="00B9105E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105E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 але без положень, що стосуються процесу виготовлення.</w:t>
            </w:r>
          </w:p>
        </w:tc>
      </w:tr>
      <w:tr w:rsidR="0007581D" w:rsidRPr="000A38F6" w:rsidTr="00797B2F">
        <w:tblPrEx>
          <w:tblCellMar>
            <w:top w:w="0" w:type="dxa"/>
            <w:bottom w:w="0" w:type="dxa"/>
          </w:tblCellMar>
        </w:tblPrEx>
        <w:trPr>
          <w:trHeight w:hRule="exact" w:val="4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Е1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Забезпечення якості контролю та випробувань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готової продукції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Виробник використовує систему забезпечення якості продукції (=якість виробництва без охоплення стадії виготовлення) для контролю та випробувань готової продукції з метою забезпечення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відповідності законодавчим вимогам (без модуля В (тип ЄС), використовується як Е без модуля В). Нотифікований орган оцінює систему якості.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Ідея, яка лежить в основі моду</w:t>
            </w:r>
            <w:r w:rsidR="00BD199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ля Е1, є схожою з ідеєю модуля </w:t>
            </w:r>
            <w:r w:rsidR="00BD1991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1: обидва модулі засновані на системі якості. Різниця п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олягає в тому, що система якості в модулі Е1 має на меті забезпечення якості кінцевої продукції, у той час, як система якості в модулі </w:t>
            </w:r>
            <w:r w:rsidR="00BD1991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1 має на меті забезпечення якості всього виробничого процесу (який охоплює стадії виготовлення та випробування кінцевої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продукції). Відтак,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Е1 є схожим з модулем 01, але без положень, що стосуються процесу виготовлення.</w:t>
            </w:r>
          </w:p>
        </w:tc>
      </w:tr>
      <w:tr w:rsidR="0007581D" w:rsidRPr="000A38F6" w:rsidTr="001200E0">
        <w:tblPrEx>
          <w:tblCellMar>
            <w:top w:w="0" w:type="dxa"/>
            <w:bottom w:w="0" w:type="dxa"/>
          </w:tblCellMar>
        </w:tblPrEx>
        <w:trPr>
          <w:trHeight w:hRule="exact" w:val="2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81D" w:rsidRPr="001200E0" w:rsidRDefault="001200E0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типові ЄС на основі перевірки продукції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виробництво та слідує за модулем В.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Виробник забезпечує відповідність виготовленої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продукції затвердженому типові ЄС. Нотифікований орган здійснює дослідження продукції (випробування кожної одиниці продукції або на основі статистичної вибірки) з метою контролю відповідності продукції типові ЄС.</w:t>
            </w:r>
          </w:p>
          <w:p w:rsidR="0007581D" w:rsidRPr="000A38F6" w:rsidRDefault="0007581D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1D" w:rsidRPr="000A38F6" w:rsidTr="00797B2F">
        <w:tblPrEx>
          <w:tblCellMar>
            <w:top w:w="0" w:type="dxa"/>
            <w:bottom w:w="0" w:type="dxa"/>
          </w:tblCellMar>
        </w:tblPrEx>
        <w:trPr>
          <w:trHeight w:hRule="exact" w:val="2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81D" w:rsidRPr="000A38F6" w:rsidRDefault="001200E0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E2898"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на основі перевірки продукції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Виробник забезпечує відповідність виготовленої продукції законодавчим вимогам. Нотифікований орган здійснює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дослідження продукції (випробування кожної одиниці продукції або на основі статистичної вибірки) з метою контролю відповідності продукції законодавчим вимогам (без типу ЄС, використовується як</w:t>
            </w:r>
            <w:r w:rsidR="001200E0">
              <w:rPr>
                <w:rStyle w:val="12"/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без модуля В)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Модуль Р1 схожий з А2, але нотифікований орган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проводить більш детальні перевірки продукції.</w:t>
            </w:r>
          </w:p>
        </w:tc>
      </w:tr>
      <w:tr w:rsidR="0007581D" w:rsidRPr="000A38F6" w:rsidTr="00797B2F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1D" w:rsidRPr="001200E0" w:rsidRDefault="001200E0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onsolas12pt0pt"/>
                <w:rFonts w:ascii="Times New Roman" w:hAnsi="Times New Roman" w:cs="Times New Roman"/>
                <w:lang w:val="en-US"/>
              </w:rPr>
              <w:t>G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на основі перевірки одиниці продукції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7581D" w:rsidRPr="000A38F6" w:rsidRDefault="000E2898">
            <w:pPr>
              <w:pStyle w:val="2"/>
              <w:framePr w:w="9240" w:h="14664" w:wrap="none" w:vAnchor="page" w:hAnchor="page" w:x="983" w:y="618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Виробник забезпечує відповідність виготовленої продукції законодавчим вимогам. Нотифікований орган проводить 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перевірку кожної конкретної одиниці продукції з метою забезпечення відповідності продукції законодавчим вимогам (без типу ЄС).</w:t>
            </w:r>
          </w:p>
        </w:tc>
      </w:tr>
    </w:tbl>
    <w:p w:rsidR="0007581D" w:rsidRPr="000A38F6" w:rsidRDefault="0007581D">
      <w:pPr>
        <w:pStyle w:val="a6"/>
        <w:framePr w:wrap="none" w:vAnchor="page" w:hAnchor="page" w:x="10722" w:y="16077"/>
        <w:shd w:val="clear" w:color="auto" w:fill="auto"/>
        <w:spacing w:line="17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7581D" w:rsidRPr="000A38F6" w:rsidRDefault="0007581D">
      <w:pPr>
        <w:rPr>
          <w:rFonts w:ascii="Times New Roman" w:hAnsi="Times New Roman" w:cs="Times New Roman"/>
        </w:rPr>
        <w:sectPr w:rsidR="0007581D" w:rsidRPr="000A38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6000"/>
      </w:tblGrid>
      <w:tr w:rsidR="0007581D" w:rsidRPr="000A38F6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81D" w:rsidRPr="001200E0" w:rsidRDefault="001200E0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onsolas12pt0pt"/>
                <w:rFonts w:ascii="Times New Roman" w:hAnsi="Times New Roman" w:cs="Times New Roman"/>
                <w:lang w:val="en-US"/>
              </w:rPr>
              <w:lastRenderedPageBreak/>
              <w:t>H</w:t>
            </w:r>
          </w:p>
          <w:p w:rsidR="0007581D" w:rsidRPr="000A38F6" w:rsidRDefault="000E2898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на основі цілковитого забезпечення якості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7581D" w:rsidRPr="000A38F6" w:rsidRDefault="000E2898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Виробник використовує систему цілковитого забезпечення якості з метою забезпечення відповідності продукції законодавчим вимогам (без типу ЄС). Нотифікований орган оцінює систему якості.</w:t>
            </w:r>
          </w:p>
        </w:tc>
      </w:tr>
      <w:tr w:rsidR="0007581D" w:rsidRPr="000A38F6" w:rsidTr="001200E0">
        <w:tblPrEx>
          <w:tblCellMar>
            <w:top w:w="0" w:type="dxa"/>
            <w:bottom w:w="0" w:type="dxa"/>
          </w:tblCellMar>
        </w:tblPrEx>
        <w:trPr>
          <w:trHeight w:hRule="exact" w:val="533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81D" w:rsidRPr="001200E0" w:rsidRDefault="001200E0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onsolas12pt0pt"/>
                <w:rFonts w:ascii="Times New Roman" w:hAnsi="Times New Roman" w:cs="Times New Roman"/>
                <w:lang w:val="en-US"/>
              </w:rPr>
              <w:t>H1</w:t>
            </w:r>
          </w:p>
          <w:p w:rsidR="0007581D" w:rsidRPr="000A38F6" w:rsidRDefault="000E2898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Відповідність на основі цілковитого забезпечення якості з експерти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зою проекту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81D" w:rsidRPr="000A38F6" w:rsidRDefault="000E2898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Охоплює як проектування, так і виробництво.</w:t>
            </w:r>
          </w:p>
          <w:p w:rsidR="0007581D" w:rsidRPr="000A38F6" w:rsidRDefault="000E2898" w:rsidP="001200E0">
            <w:pPr>
              <w:pStyle w:val="2"/>
              <w:framePr w:w="9245" w:h="5789" w:wrap="none" w:vAnchor="page" w:hAnchor="page" w:x="1033" w:y="589"/>
              <w:shd w:val="clear" w:color="auto" w:fill="auto"/>
              <w:spacing w:before="0" w:line="25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Виробник використовує систему цілковитого забезпечення якості з метою забезпечення відповідності продукції законодавчим вимогам (без типу ЄС). Нотифі</w:t>
            </w:r>
            <w:bookmarkStart w:id="1" w:name="_GoBack"/>
            <w:bookmarkEnd w:id="1"/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кований орган оцінює систему якості та проект проду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кції й видає сертифікат експертизи проекту ЄС. Модуль Н</w:t>
            </w:r>
            <w:r w:rsidR="001200E0" w:rsidRPr="001200E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у порівнянні з модулем Н передбачає, на додачу, що нотифікований орган здійснює більш детальну експертизу проекту продукції. Сертифікат експертизи проекту ЄС не слід плутати із сертифікатом експертиз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 типу ЄС з модуля В, який засвідчує відповідність зразка, «репрезентативного для передбаченого виробництва», аби можна було перевірити відповідність продукції цьому зразкові. Для сертифіката експертизи проекту ЄС, передбаченого модулем Н</w:t>
            </w:r>
            <w:r w:rsidR="001200E0" w:rsidRPr="001200E0">
              <w:rPr>
                <w:rStyle w:val="12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 такого зразка н</w:t>
            </w:r>
            <w:r w:rsidRPr="000A38F6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 існує. Сертифікат експертизи проекту ЄС засвідчує, що нотифікований орган провів перевірку та сертифікацію відповідності проекту продукції.</w:t>
            </w:r>
          </w:p>
        </w:tc>
      </w:tr>
    </w:tbl>
    <w:p w:rsidR="0007581D" w:rsidRPr="000A38F6" w:rsidRDefault="0007581D">
      <w:pPr>
        <w:rPr>
          <w:rFonts w:ascii="Times New Roman" w:hAnsi="Times New Roman" w:cs="Times New Roman"/>
        </w:rPr>
      </w:pPr>
    </w:p>
    <w:sectPr w:rsidR="0007581D" w:rsidRPr="000A38F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98" w:rsidRDefault="000E2898">
      <w:r>
        <w:separator/>
      </w:r>
    </w:p>
  </w:endnote>
  <w:endnote w:type="continuationSeparator" w:id="0">
    <w:p w:rsidR="000E2898" w:rsidRDefault="000E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98" w:rsidRDefault="000E2898"/>
  </w:footnote>
  <w:footnote w:type="continuationSeparator" w:id="0">
    <w:p w:rsidR="000E2898" w:rsidRDefault="000E28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0E9"/>
    <w:multiLevelType w:val="multilevel"/>
    <w:tmpl w:val="28D24C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D"/>
    <w:rsid w:val="0007581D"/>
    <w:rsid w:val="000A38F6"/>
    <w:rsid w:val="000E2898"/>
    <w:rsid w:val="001200E0"/>
    <w:rsid w:val="00330EA6"/>
    <w:rsid w:val="00491028"/>
    <w:rsid w:val="00573748"/>
    <w:rsid w:val="00797B2F"/>
    <w:rsid w:val="008B767A"/>
    <w:rsid w:val="00AD5076"/>
    <w:rsid w:val="00B9105E"/>
    <w:rsid w:val="00BA3ECC"/>
    <w:rsid w:val="00BD1991"/>
    <w:rsid w:val="00BD56B7"/>
    <w:rsid w:val="00CA3CD0"/>
    <w:rsid w:val="00E425B9"/>
    <w:rsid w:val="00E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0pt">
    <w:name w:val="Основной текст + 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nsolas12pt0pt">
    <w:name w:val="Основной текст + Consolas;12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13pt0pt">
    <w:name w:val="Основной текст + 13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i/>
      <w:iCs/>
      <w:spacing w:val="-1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490" w:lineRule="exact"/>
      <w:ind w:hanging="380"/>
    </w:pPr>
    <w:rPr>
      <w:rFonts w:ascii="Calibri" w:eastAsia="Calibri" w:hAnsi="Calibri" w:cs="Calibri"/>
      <w:spacing w:val="10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/>
    </w:rPr>
  </w:style>
  <w:style w:type="character" w:customStyle="1" w:styleId="0pt">
    <w:name w:val="Основной текст + 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nsolas12pt0pt">
    <w:name w:val="Основной текст + Consolas;12 pt;Интервал 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uk-UA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13pt0pt">
    <w:name w:val="Основной текст + 13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i/>
      <w:iCs/>
      <w:spacing w:val="-1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490" w:lineRule="exact"/>
      <w:ind w:hanging="380"/>
    </w:pPr>
    <w:rPr>
      <w:rFonts w:ascii="Calibri" w:eastAsia="Calibri" w:hAnsi="Calibri" w:cs="Calibri"/>
      <w:spacing w:val="10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pacing w:val="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Dep46-3</dc:creator>
  <cp:lastModifiedBy>555</cp:lastModifiedBy>
  <cp:revision>14</cp:revision>
  <dcterms:created xsi:type="dcterms:W3CDTF">2015-10-15T06:45:00Z</dcterms:created>
  <dcterms:modified xsi:type="dcterms:W3CDTF">2015-10-15T08:29:00Z</dcterms:modified>
</cp:coreProperties>
</file>